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CE" w:rsidRPr="008874CE" w:rsidRDefault="008874CE" w:rsidP="008874CE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8874CE">
        <w:rPr>
          <w:rFonts w:hint="cs"/>
          <w:b/>
          <w:bCs/>
          <w:sz w:val="32"/>
          <w:szCs w:val="32"/>
          <w:rtl/>
          <w:lang w:bidi="ar-MA"/>
        </w:rPr>
        <w:t xml:space="preserve">لائحة </w:t>
      </w:r>
      <w:proofErr w:type="spellStart"/>
      <w:r w:rsidRPr="008874CE">
        <w:rPr>
          <w:rFonts w:hint="cs"/>
          <w:b/>
          <w:bCs/>
          <w:sz w:val="32"/>
          <w:szCs w:val="32"/>
          <w:rtl/>
          <w:lang w:bidi="ar-MA"/>
        </w:rPr>
        <w:t>المترشحين</w:t>
      </w:r>
      <w:proofErr w:type="spellEnd"/>
      <w:r w:rsidRPr="008874CE">
        <w:rPr>
          <w:rFonts w:hint="cs"/>
          <w:b/>
          <w:bCs/>
          <w:sz w:val="32"/>
          <w:szCs w:val="32"/>
          <w:rtl/>
          <w:lang w:bidi="ar-MA"/>
        </w:rPr>
        <w:t xml:space="preserve">  للمصاحبة الجامعية والاجتماعية</w:t>
      </w:r>
    </w:p>
    <w:p w:rsidR="008874CE" w:rsidRPr="008874CE" w:rsidRDefault="008874CE" w:rsidP="008874CE">
      <w:pPr>
        <w:bidi/>
        <w:jc w:val="center"/>
        <w:rPr>
          <w:b/>
          <w:bCs/>
          <w:sz w:val="24"/>
          <w:szCs w:val="24"/>
          <w:lang w:bidi="ar-MA"/>
        </w:rPr>
      </w:pPr>
      <w:r w:rsidRPr="008874CE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8874CE">
        <w:rPr>
          <w:rFonts w:hint="cs"/>
          <w:b/>
          <w:bCs/>
          <w:sz w:val="32"/>
          <w:szCs w:val="32"/>
          <w:rtl/>
          <w:lang w:bidi="ar-MA"/>
        </w:rPr>
        <w:t>الموسم</w:t>
      </w:r>
      <w:proofErr w:type="gramEnd"/>
      <w:r w:rsidRPr="008874CE">
        <w:rPr>
          <w:rFonts w:hint="cs"/>
          <w:b/>
          <w:bCs/>
          <w:sz w:val="32"/>
          <w:szCs w:val="32"/>
          <w:rtl/>
          <w:lang w:bidi="ar-MA"/>
        </w:rPr>
        <w:t xml:space="preserve"> الجامعي 2015/2016</w:t>
      </w: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2691"/>
        <w:gridCol w:w="3450"/>
        <w:gridCol w:w="3071"/>
      </w:tblGrid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</w:pPr>
            <w:r w:rsidRPr="008874CE"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  <w:t>اسم المرشح</w:t>
            </w: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</w:pPr>
            <w:proofErr w:type="gramStart"/>
            <w:r w:rsidRPr="008874CE"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  <w:t>المستوى</w:t>
            </w:r>
            <w:proofErr w:type="gramEnd"/>
            <w:r w:rsidRPr="008874CE"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  <w:t xml:space="preserve"> الجامعي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</w:pPr>
            <w:proofErr w:type="gramStart"/>
            <w:r w:rsidRPr="008874CE"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  <w:t>التخصص</w:t>
            </w:r>
            <w:proofErr w:type="gram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ascii="Courier New" w:hAnsi="Courier New" w:cs="Courier New"/>
                <w:b/>
                <w:bCs/>
                <w:color w:val="1F497D" w:themeColor="text2"/>
                <w:sz w:val="36"/>
                <w:szCs w:val="36"/>
                <w:rtl/>
                <w:lang w:bidi="ar-MA"/>
              </w:rPr>
            </w:pP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الطيب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ادكوي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الثانية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      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مجالات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التدخل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البشري،الأخطار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الهشاشة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الاجتماعية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الاقتصادية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الحسن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النجيم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الثالثة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للجنوب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الاله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أبجانا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الثانية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تهيئة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والهجرة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الحسين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العلواني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التواصل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المؤسساتي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فدوى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الرضواني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التحرير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الصحفي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التنوع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الاعلامي</w:t>
            </w:r>
            <w:proofErr w:type="spellEnd"/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علم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الاجتماع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محمد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ادالطالب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تراث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وتنمية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هدى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بوليدام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التحرير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الصحفي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التنوع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الاعلامي</w:t>
            </w:r>
            <w:proofErr w:type="spellEnd"/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المصاحبة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الاجتماعية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الهام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ادحمو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التواصل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المؤسساتي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بايس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الثالثة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للجنوب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جليل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امحمد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الثانية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بودرز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الثالثة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للجنوب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فاضل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حسن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تراث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وتنمية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فاطمة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الزهراء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بوحلاسة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اللسانيات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اللغوية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الانجليزية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باعلي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عبدالله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أولى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للجنوب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يونس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بويا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الفققه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المقارن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وقضايا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الاجتهاد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المعاصر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الاسلامية</w:t>
            </w:r>
            <w:proofErr w:type="spell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عمر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امريغ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الفقه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المقارن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الاسلامية</w:t>
            </w:r>
            <w:proofErr w:type="spell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مزيان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الفقه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المقارن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الاسلامية</w:t>
            </w:r>
            <w:proofErr w:type="spell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سعيد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أمغار</w:t>
            </w:r>
            <w:proofErr w:type="gram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الثالثة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النص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والخطاب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العربية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وآدابها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الحسين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سينا</w:t>
            </w: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الثالثة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lastRenderedPageBreak/>
              <w:t>النص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والخطاب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lastRenderedPageBreak/>
              <w:t>اللغة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العربية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وآدابها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lastRenderedPageBreak/>
              <w:t>يوسف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أفلا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اللسانيات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اللغوية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الانجليزية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اللطيف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شوكري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اللسانيات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اللغوية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الانجليزية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يوسف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بنعامر</w:t>
            </w:r>
            <w:proofErr w:type="spellEnd"/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تراث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وتنمية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علم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الاجتماع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امبارك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رحال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السلطة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والدين</w:t>
            </w:r>
            <w:proofErr w:type="gramEnd"/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رحال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مبارك</w:t>
            </w: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الثانية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سلك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تراث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وتنمية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أفلا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الأولى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تهيئة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والهجرة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عبد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الحميد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أوحدو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الثانية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تهيئة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والهجرة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رمضان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خونا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الأولى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تهيئة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والهجرة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محمد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أيت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باها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الأولى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تهيئة</w:t>
            </w:r>
            <w:proofErr w:type="gram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والهجرة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الجغرافيا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فاظمة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الراجي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اللسانيات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اللغوية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الانجليزية</w:t>
            </w:r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أزلف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رشيد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السلطة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والمجتمع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والدين</w:t>
            </w:r>
            <w:proofErr w:type="gramEnd"/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كمال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محمد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أولى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دكتوراه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للجنوب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المغربي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التاريخ</w:t>
            </w:r>
            <w:proofErr w:type="gramEnd"/>
          </w:p>
        </w:tc>
      </w:tr>
      <w:tr w:rsidR="008874CE" w:rsidRPr="008874CE" w:rsidTr="008874CE">
        <w:tc>
          <w:tcPr>
            <w:tcW w:w="269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pStyle w:val="Paragraphedeliste"/>
              <w:numPr>
                <w:ilvl w:val="0"/>
                <w:numId w:val="1"/>
              </w:num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أكوليد</w:t>
            </w:r>
            <w:proofErr w:type="spellEnd"/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بدر</w:t>
            </w:r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450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ماستر</w:t>
            </w:r>
            <w:proofErr w:type="spellEnd"/>
          </w:p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اللسانيات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الدراسة</w:t>
            </w:r>
            <w:r w:rsidRPr="008874CE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اللغوية</w:t>
            </w:r>
          </w:p>
        </w:tc>
        <w:tc>
          <w:tcPr>
            <w:tcW w:w="3071" w:type="dxa"/>
            <w:shd w:val="clear" w:color="auto" w:fill="C2D69B" w:themeFill="accent3" w:themeFillTint="99"/>
          </w:tcPr>
          <w:p w:rsidR="008874CE" w:rsidRPr="008874CE" w:rsidRDefault="008874CE" w:rsidP="008874CE">
            <w:pPr>
              <w:shd w:val="clear" w:color="auto" w:fill="C2D69B" w:themeFill="accent3" w:themeFillTint="99"/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</w:pPr>
            <w:r w:rsidRPr="008874CE">
              <w:rPr>
                <w:b/>
                <w:bCs/>
                <w:sz w:val="24"/>
                <w:szCs w:val="24"/>
                <w:rtl/>
                <w:lang w:bidi="ar-MA"/>
              </w:rPr>
              <w:t>الانجليزية</w:t>
            </w:r>
          </w:p>
        </w:tc>
      </w:tr>
    </w:tbl>
    <w:p w:rsidR="008874CE" w:rsidRPr="008874CE" w:rsidRDefault="008874CE" w:rsidP="008874CE">
      <w:pPr>
        <w:shd w:val="clear" w:color="auto" w:fill="C2D69B" w:themeFill="accent3" w:themeFillTint="99"/>
        <w:bidi/>
        <w:jc w:val="center"/>
        <w:rPr>
          <w:b/>
          <w:bCs/>
          <w:sz w:val="24"/>
          <w:szCs w:val="24"/>
          <w:lang w:bidi="ar-MA"/>
        </w:rPr>
      </w:pPr>
    </w:p>
    <w:p w:rsidR="00802943" w:rsidRPr="008874CE" w:rsidRDefault="00802943">
      <w:pPr>
        <w:rPr>
          <w:b/>
          <w:bCs/>
          <w:sz w:val="24"/>
          <w:szCs w:val="24"/>
        </w:rPr>
      </w:pPr>
    </w:p>
    <w:sectPr w:rsidR="00802943" w:rsidRPr="008874CE" w:rsidSect="0080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6337"/>
    <w:multiLevelType w:val="hybridMultilevel"/>
    <w:tmpl w:val="38126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874CE"/>
    <w:rsid w:val="00802943"/>
    <w:rsid w:val="0088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2015-10-05T18:23:00Z</dcterms:created>
  <dcterms:modified xsi:type="dcterms:W3CDTF">2015-10-05T18:27:00Z</dcterms:modified>
</cp:coreProperties>
</file>