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86" w:rsidRDefault="000B5F85" w:rsidP="00672386">
      <w:pPr>
        <w:rPr>
          <w:rtl/>
          <w:lang w:bidi="ar-MA"/>
        </w:rPr>
      </w:pPr>
      <w:r>
        <w:rPr>
          <w:noProof/>
          <w:rtl/>
          <w:lang w:eastAsia="fr-FR"/>
        </w:rPr>
        <w:pict>
          <v:rect id="_x0000_s1027" style="position:absolute;margin-left:-62pt;margin-top:-53.05pt;width:175.2pt;height:45.45pt;z-index:251659264" strokecolor="white [3212]">
            <v:textbox>
              <w:txbxContent>
                <w:p w:rsidR="00672386" w:rsidRPr="00672386" w:rsidRDefault="00672386" w:rsidP="00672386">
                  <w:pPr>
                    <w:jc w:val="center"/>
                    <w:rPr>
                      <w:rFonts w:ascii="Arabic Typesetting" w:hAnsi="Arabic Typesetting" w:cs="Arabic Typesetting"/>
                      <w:b/>
                      <w:bCs/>
                      <w:lang w:bidi="ar-MA"/>
                    </w:rPr>
                  </w:pPr>
                  <w:r w:rsidRPr="00672386">
                    <w:rPr>
                      <w:rFonts w:ascii="Arabic Typesetting" w:hAnsi="Arabic Typesetting" w:cs="Arabic Typesetting"/>
                      <w:b/>
                      <w:bCs/>
                      <w:sz w:val="44"/>
                      <w:szCs w:val="44"/>
                      <w:rtl/>
                      <w:lang w:bidi="ar-MA"/>
                    </w:rPr>
                    <w:t>شعبة التاريخ والحضارة</w:t>
                  </w:r>
                </w:p>
              </w:txbxContent>
            </v:textbox>
          </v:rect>
        </w:pict>
      </w:r>
      <w:r>
        <w:rPr>
          <w:noProof/>
          <w:rtl/>
          <w:lang w:eastAsia="fr-FR"/>
        </w:rPr>
        <w:pict>
          <v:rect id="_x0000_s1026" style="position:absolute;margin-left:343pt;margin-top:-65.1pt;width:168.4pt;height:70pt;z-index:251658240" strokecolor="white [3212]">
            <v:textbox>
              <w:txbxContent>
                <w:p w:rsidR="00672386" w:rsidRDefault="00672386">
                  <w:r w:rsidRPr="00672386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46275" cy="893983"/>
                        <wp:effectExtent l="1905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6275" cy="8939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03E1C" w:rsidRDefault="00672386" w:rsidP="00E307BC">
      <w:pPr>
        <w:jc w:val="center"/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</w:pPr>
      <w:r w:rsidRPr="00325A15"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  <w:t xml:space="preserve">برمجة امتحانات الدورة الربيعية </w:t>
      </w:r>
      <w:r w:rsidR="00E307BC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الاستدراكية</w:t>
      </w:r>
      <w:r w:rsidRPr="00325A15"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  <w:t xml:space="preserve"> للموسم الجامعي 2016-2017</w:t>
      </w:r>
      <w:r w:rsidRPr="00672386"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  <w:t>.</w:t>
      </w:r>
    </w:p>
    <w:p w:rsidR="00325A15" w:rsidRPr="00325A15" w:rsidRDefault="00325A15" w:rsidP="00790ACF">
      <w:pPr>
        <w:jc w:val="center"/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  <w:r w:rsidRPr="00325A15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الفصل</w:t>
      </w:r>
      <w:r w:rsidR="008E7349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الثاني</w:t>
      </w:r>
      <w:r w:rsidR="00E307BC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</w:t>
      </w:r>
      <w:r w:rsidR="008E7349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و</w:t>
      </w:r>
      <w:r w:rsidR="00F55FE5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الرابع</w:t>
      </w:r>
      <w:r w:rsidR="00EE0ABC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والسادس</w:t>
      </w:r>
      <w:r w:rsidR="00DB1682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</w:t>
      </w:r>
    </w:p>
    <w:tbl>
      <w:tblPr>
        <w:tblStyle w:val="Grilledutableau"/>
        <w:tblW w:w="11340" w:type="dxa"/>
        <w:tblInd w:w="-1026" w:type="dxa"/>
        <w:tblLayout w:type="fixed"/>
        <w:tblLook w:val="04A0"/>
      </w:tblPr>
      <w:tblGrid>
        <w:gridCol w:w="1560"/>
        <w:gridCol w:w="1984"/>
        <w:gridCol w:w="2126"/>
        <w:gridCol w:w="1843"/>
        <w:gridCol w:w="1276"/>
        <w:gridCol w:w="2551"/>
      </w:tblGrid>
      <w:tr w:rsidR="00A1213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المدرج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الساعة</w:t>
            </w:r>
          </w:p>
        </w:tc>
        <w:tc>
          <w:tcPr>
            <w:tcW w:w="2126" w:type="dxa"/>
          </w:tcPr>
          <w:p w:rsidR="008E7349" w:rsidRPr="00CA586B" w:rsidRDefault="008E7349" w:rsidP="00A1213B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التاريخ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الأستاذ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E7349" w:rsidRPr="00CA586B" w:rsidRDefault="008E7349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الفصل</w:t>
            </w:r>
          </w:p>
        </w:tc>
        <w:tc>
          <w:tcPr>
            <w:tcW w:w="2551" w:type="dxa"/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الوحدة</w:t>
            </w:r>
          </w:p>
        </w:tc>
      </w:tr>
      <w:tr w:rsidR="00A1213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8A6E4B" w:rsidRPr="00CA586B" w:rsidRDefault="008A6E4B" w:rsidP="00EE0ABC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</w:t>
            </w:r>
            <w:r w:rsidR="00EE0ABC"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2697D" w:rsidRPr="0002697D" w:rsidRDefault="0002697D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9 إلى 10</w:t>
            </w:r>
          </w:p>
        </w:tc>
        <w:tc>
          <w:tcPr>
            <w:tcW w:w="2126" w:type="dxa"/>
          </w:tcPr>
          <w:p w:rsidR="0002697D" w:rsidRPr="00DC7C92" w:rsidRDefault="00EE0ABC" w:rsidP="00EE0ABC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19</w:t>
            </w:r>
            <w:r w:rsidR="0002697D" w:rsidRPr="00DC7C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/0</w:t>
            </w:r>
            <w:r w:rsid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  <w:r w:rsidR="0002697D" w:rsidRPr="00DC7C92"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  <w:t xml:space="preserve"> 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الاثنين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2697D" w:rsidRPr="00E307BC" w:rsidRDefault="00EE0ABC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إحدى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2697D" w:rsidRPr="00E307BC" w:rsidRDefault="00EE0ABC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</w:p>
        </w:tc>
        <w:tc>
          <w:tcPr>
            <w:tcW w:w="2551" w:type="dxa"/>
          </w:tcPr>
          <w:p w:rsidR="0002697D" w:rsidRPr="00DC7C92" w:rsidRDefault="00EE0ABC" w:rsidP="004D2892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مجتمع الواحات </w:t>
            </w:r>
          </w:p>
        </w:tc>
      </w:tr>
      <w:tr w:rsidR="008A6E4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AA0881" w:rsidRDefault="00EE0ABC" w:rsidP="00554446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م.2</w:t>
            </w:r>
          </w:p>
          <w:p w:rsidR="008A6E4B" w:rsidRPr="00CA586B" w:rsidRDefault="008A6E4B" w:rsidP="00554446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A6E4B" w:rsidRPr="0002697D" w:rsidRDefault="008A6E4B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10 إلى 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6E4B" w:rsidRPr="00DC7C92" w:rsidRDefault="00EE0ABC" w:rsidP="004D2892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19</w:t>
            </w:r>
            <w:r w:rsidRPr="00DC7C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/0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  <w:r w:rsidRPr="00DC7C92"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  <w:t xml:space="preserve"> 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الاثنين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A6E4B" w:rsidRPr="00E307BC" w:rsidRDefault="00EE0ABC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الشيخي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A6E4B" w:rsidRPr="00E307BC" w:rsidRDefault="00EE0ABC" w:rsidP="00E34B05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</w:p>
        </w:tc>
        <w:tc>
          <w:tcPr>
            <w:tcW w:w="2551" w:type="dxa"/>
          </w:tcPr>
          <w:p w:rsidR="008A6E4B" w:rsidRPr="00DC7C92" w:rsidRDefault="00EE0ABC" w:rsidP="004D2892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المغرب في عهد الحماية</w:t>
            </w:r>
          </w:p>
        </w:tc>
      </w:tr>
      <w:tr w:rsidR="008A6E4B" w:rsidRPr="00DC7C92" w:rsidTr="00EE0ABC">
        <w:trPr>
          <w:trHeight w:val="889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8A6E4B" w:rsidRPr="00CA586B" w:rsidRDefault="00EE0ABC" w:rsidP="008A6E4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م.3-1-4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8A6E4B" w:rsidRPr="0002697D" w:rsidRDefault="00EE0ABC" w:rsidP="00EE0ABC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10</w:t>
            </w:r>
            <w:r w:rsidR="008A6E4B"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 إلى 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A6E4B" w:rsidRPr="00DC7C92" w:rsidRDefault="00EE0ABC" w:rsidP="004D2892">
            <w:pPr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19</w:t>
            </w:r>
            <w:r w:rsidRPr="00DC7C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/0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  <w:r w:rsidRPr="00DC7C92"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  <w:t xml:space="preserve"> 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الاثنين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8A6E4B" w:rsidRPr="00E307BC" w:rsidRDefault="00EE0ABC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التايب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8A6E4B" w:rsidRPr="00E307BC" w:rsidRDefault="008A6E4B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A6E4B" w:rsidRPr="00DC7C92" w:rsidRDefault="00EE0ABC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الإغريق والرومان</w:t>
            </w:r>
          </w:p>
        </w:tc>
      </w:tr>
      <w:tr w:rsidR="00EE0ABC" w:rsidRPr="00DC7C92" w:rsidTr="00EE0ABC">
        <w:trPr>
          <w:trHeight w:val="40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BC" w:rsidRDefault="00EE0ABC" w:rsidP="008A6E4B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 2-3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ABC" w:rsidRDefault="00EE0ABC" w:rsidP="00EE0ABC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11 إلى 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0ABC" w:rsidRDefault="00EE0ABC" w:rsidP="004D2892">
            <w:pPr>
              <w:jc w:val="right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19</w:t>
            </w:r>
            <w:r w:rsidRPr="00DC7C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/0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  <w:r w:rsidRPr="00DC7C92"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  <w:t xml:space="preserve"> 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الاثنين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ABC" w:rsidRDefault="00EE0ABC" w:rsidP="00A1213B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جاجا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ABC" w:rsidRDefault="00EE0ABC" w:rsidP="00A1213B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EE0ABC" w:rsidRDefault="00EE0ABC" w:rsidP="00A1213B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النظريات الاقتصادية</w:t>
            </w:r>
          </w:p>
        </w:tc>
      </w:tr>
    </w:tbl>
    <w:p w:rsidR="001D2CAB" w:rsidRDefault="00A1213B" w:rsidP="00CA586B">
      <w:pPr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  <w:r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عن الشعبة</w:t>
      </w:r>
    </w:p>
    <w:p w:rsidR="008A6E4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</w:p>
    <w:p w:rsidR="008A6E4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</w:p>
    <w:p w:rsidR="008A6E4B" w:rsidRPr="00CA586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lang w:bidi="ar-MA"/>
        </w:rPr>
      </w:pPr>
    </w:p>
    <w:sectPr w:rsidR="008A6E4B" w:rsidRPr="00CA586B" w:rsidSect="005B3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61E" w:rsidRDefault="00B2261E" w:rsidP="00672386">
      <w:pPr>
        <w:spacing w:after="0" w:line="240" w:lineRule="auto"/>
      </w:pPr>
      <w:r>
        <w:separator/>
      </w:r>
    </w:p>
  </w:endnote>
  <w:endnote w:type="continuationSeparator" w:id="1">
    <w:p w:rsidR="00B2261E" w:rsidRDefault="00B2261E" w:rsidP="0067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61E" w:rsidRDefault="00B2261E" w:rsidP="00672386">
      <w:pPr>
        <w:spacing w:after="0" w:line="240" w:lineRule="auto"/>
      </w:pPr>
      <w:r>
        <w:separator/>
      </w:r>
    </w:p>
  </w:footnote>
  <w:footnote w:type="continuationSeparator" w:id="1">
    <w:p w:rsidR="00B2261E" w:rsidRDefault="00B2261E" w:rsidP="00672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386"/>
    <w:rsid w:val="00002E91"/>
    <w:rsid w:val="000070BE"/>
    <w:rsid w:val="0002697D"/>
    <w:rsid w:val="000353D7"/>
    <w:rsid w:val="0009005B"/>
    <w:rsid w:val="00097983"/>
    <w:rsid w:val="000A4361"/>
    <w:rsid w:val="000B5F85"/>
    <w:rsid w:val="00105621"/>
    <w:rsid w:val="0013287F"/>
    <w:rsid w:val="001D2CAB"/>
    <w:rsid w:val="001E1A15"/>
    <w:rsid w:val="0020731D"/>
    <w:rsid w:val="00226488"/>
    <w:rsid w:val="00232E8E"/>
    <w:rsid w:val="002E5D4B"/>
    <w:rsid w:val="00312504"/>
    <w:rsid w:val="00325A15"/>
    <w:rsid w:val="003A4B40"/>
    <w:rsid w:val="00403E1C"/>
    <w:rsid w:val="00472FF1"/>
    <w:rsid w:val="004C391E"/>
    <w:rsid w:val="004D2892"/>
    <w:rsid w:val="0051535C"/>
    <w:rsid w:val="0052483F"/>
    <w:rsid w:val="0052590B"/>
    <w:rsid w:val="005263E5"/>
    <w:rsid w:val="00542AEF"/>
    <w:rsid w:val="00554446"/>
    <w:rsid w:val="005B3EF5"/>
    <w:rsid w:val="005F1E4F"/>
    <w:rsid w:val="00601060"/>
    <w:rsid w:val="00635BAA"/>
    <w:rsid w:val="00666928"/>
    <w:rsid w:val="00672386"/>
    <w:rsid w:val="006D06C9"/>
    <w:rsid w:val="006F71F7"/>
    <w:rsid w:val="007258B6"/>
    <w:rsid w:val="00774B75"/>
    <w:rsid w:val="00790ACF"/>
    <w:rsid w:val="008A6E4B"/>
    <w:rsid w:val="008E7349"/>
    <w:rsid w:val="0092387C"/>
    <w:rsid w:val="00983B3D"/>
    <w:rsid w:val="009C6453"/>
    <w:rsid w:val="009F21ED"/>
    <w:rsid w:val="009F29EE"/>
    <w:rsid w:val="00A1213B"/>
    <w:rsid w:val="00A36D61"/>
    <w:rsid w:val="00AA0881"/>
    <w:rsid w:val="00AD6F88"/>
    <w:rsid w:val="00B2261E"/>
    <w:rsid w:val="00B470A1"/>
    <w:rsid w:val="00C02378"/>
    <w:rsid w:val="00C248DC"/>
    <w:rsid w:val="00C34AD2"/>
    <w:rsid w:val="00CA586B"/>
    <w:rsid w:val="00CE108A"/>
    <w:rsid w:val="00D31914"/>
    <w:rsid w:val="00D401B2"/>
    <w:rsid w:val="00DA5809"/>
    <w:rsid w:val="00DB1682"/>
    <w:rsid w:val="00DC7C92"/>
    <w:rsid w:val="00DF0BFF"/>
    <w:rsid w:val="00E258BE"/>
    <w:rsid w:val="00E307BC"/>
    <w:rsid w:val="00E34B05"/>
    <w:rsid w:val="00EE0ABC"/>
    <w:rsid w:val="00F55FE5"/>
    <w:rsid w:val="00F90447"/>
    <w:rsid w:val="00FD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7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72386"/>
  </w:style>
  <w:style w:type="paragraph" w:styleId="Pieddepage">
    <w:name w:val="footer"/>
    <w:basedOn w:val="Normal"/>
    <w:link w:val="PieddepageCar"/>
    <w:uiPriority w:val="99"/>
    <w:semiHidden/>
    <w:unhideWhenUsed/>
    <w:rsid w:val="0067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72386"/>
  </w:style>
  <w:style w:type="paragraph" w:styleId="Textedebulles">
    <w:name w:val="Balloon Text"/>
    <w:basedOn w:val="Normal"/>
    <w:link w:val="TextedebullesCar"/>
    <w:uiPriority w:val="99"/>
    <w:semiHidden/>
    <w:unhideWhenUsed/>
    <w:rsid w:val="0067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238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72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8147F-A365-4BC9-86C9-798FF279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histoire</dc:creator>
  <cp:keywords/>
  <dc:description/>
  <cp:lastModifiedBy>histoire</cp:lastModifiedBy>
  <cp:revision>3</cp:revision>
  <cp:lastPrinted>2017-06-14T15:29:00Z</cp:lastPrinted>
  <dcterms:created xsi:type="dcterms:W3CDTF">2017-05-09T15:55:00Z</dcterms:created>
  <dcterms:modified xsi:type="dcterms:W3CDTF">2017-06-17T15:53:00Z</dcterms:modified>
</cp:coreProperties>
</file>